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left"/>
        <w:rPr>
          <w:rFonts w:ascii="仿宋" w:eastAsia="仿宋" w:cs="仿宋" w:hint="eastAsia"/>
          <w:bCs/>
          <w:sz w:val="32"/>
          <w:szCs w:val="32"/>
        </w:rPr>
      </w:pPr>
      <w:bookmarkStart w:id="0" w:name="_GoBack"/>
      <w:bookmarkEnd w:id="0"/>
      <w:r>
        <w:rPr>
          <w:rFonts w:ascii="仿宋" w:eastAsia="仿宋" w:cs="仿宋" w:hint="eastAsia"/>
          <w:bCs/>
          <w:sz w:val="32"/>
          <w:szCs w:val="32"/>
        </w:rPr>
        <w:t>附件3</w:t>
      </w:r>
    </w:p>
    <w:p>
      <w:pPr>
        <w:spacing w:line="560" w:lineRule="exact"/>
        <w:jc w:val="center"/>
        <w:rPr>
          <w:rFonts w:ascii="仿宋" w:eastAsia="仿宋" w:cs="仿宋" w:hint="eastAsia"/>
          <w:bCs/>
          <w:sz w:val="32"/>
          <w:szCs w:val="32"/>
        </w:rPr>
      </w:pPr>
      <w:r>
        <w:rPr>
          <w:rFonts w:ascii="黑体" w:eastAsia="黑体" w:cs="黑体" w:hint="eastAsia"/>
          <w:bCs/>
          <w:sz w:val="32"/>
          <w:szCs w:val="32"/>
        </w:rPr>
        <w:t>评审办法</w:t>
      </w:r>
    </w:p>
    <w:p>
      <w:pPr>
        <w:spacing w:line="560" w:lineRule="exact"/>
        <w:jc w:val="center"/>
        <w:rPr>
          <w:rFonts w:ascii="仿宋" w:eastAsia="仿宋" w:cs="仿宋" w:hint="eastAsia"/>
          <w:bCs/>
          <w:sz w:val="32"/>
          <w:szCs w:val="32"/>
        </w:rPr>
      </w:pPr>
      <w:r>
        <w:rPr>
          <w:rFonts w:ascii="仿宋" w:eastAsia="仿宋" w:cs="仿宋" w:hint="eastAsia"/>
          <w:bCs/>
          <w:sz w:val="32"/>
          <w:szCs w:val="32"/>
        </w:rPr>
        <w:t>（综合评分法）</w:t>
      </w:r>
    </w:p>
    <w:p>
      <w:pPr>
        <w:spacing w:line="560" w:lineRule="exact"/>
        <w:ind w:firstLineChars="200" w:firstLine="640"/>
        <w:rPr>
          <w:rFonts w:ascii="仿宋" w:eastAsia="仿宋" w:cs="仿宋" w:hint="eastAsia"/>
          <w:sz w:val="32"/>
          <w:szCs w:val="32"/>
        </w:rPr>
      </w:pP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一、形式评审</w:t>
      </w:r>
    </w:p>
    <w:p>
      <w:pPr>
        <w:spacing w:line="560" w:lineRule="exact"/>
        <w:ind w:firstLineChars="200" w:firstLine="640"/>
        <w:rPr>
          <w:rFonts w:ascii="仿宋" w:eastAsia="仿宋" w:cs="仿宋" w:hint="eastAsia"/>
          <w:b/>
          <w:sz w:val="32"/>
          <w:szCs w:val="32"/>
        </w:rPr>
      </w:pPr>
      <w:r>
        <w:rPr>
          <w:rFonts w:ascii="仿宋" w:eastAsia="仿宋" w:cs="仿宋" w:hint="eastAsia"/>
          <w:b/>
          <w:sz w:val="32"/>
          <w:szCs w:val="32"/>
        </w:rPr>
        <w:t>（一）查看报价文件送达时间：</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在《采购公告》规定的报价截止时间之前将报价文件送达；</w:t>
      </w:r>
    </w:p>
    <w:p>
      <w:pPr>
        <w:spacing w:line="560" w:lineRule="exact"/>
        <w:ind w:left="640"/>
        <w:rPr>
          <w:rFonts w:ascii="仿宋" w:eastAsia="仿宋" w:cs="仿宋" w:hint="eastAsia"/>
          <w:b/>
          <w:sz w:val="32"/>
          <w:szCs w:val="32"/>
        </w:rPr>
      </w:pPr>
      <w:r>
        <w:rPr>
          <w:rFonts w:ascii="仿宋" w:eastAsia="仿宋" w:cs="仿宋" w:hint="eastAsia"/>
          <w:b/>
          <w:sz w:val="32"/>
          <w:szCs w:val="32"/>
        </w:rPr>
        <w:t>（二）报价文件组成：</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1.报价函（附件1，必须提供）；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2.报价明细表（附件2，必须提供）；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3.声明，提供在“信用中国”网站（www.creditchina.gov.cn）的信用查询截图（附件3，必须提供）；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4.有效的营业执照副本复印件（必须提供）；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5.供应商的法定代表人身份证正反面复印件（必须提供）；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6.供应商的法人授权委托书、委托代理人身份证正反面复印件（委托代理时必须提供，</w:t>
      </w:r>
      <w:r>
        <w:rPr>
          <w:rFonts w:ascii="仿宋" w:eastAsia="仿宋" w:cs="仿宋" w:hint="eastAsia"/>
          <w:color w:val="000000"/>
          <w:sz w:val="32"/>
          <w:szCs w:val="32"/>
        </w:rPr>
        <w:t>同时要加盖单位公章，否则被认定为资格审查不合格而报价无效</w:t>
      </w:r>
      <w:r>
        <w:rPr>
          <w:rFonts w:ascii="仿宋" w:eastAsia="仿宋" w:cs="仿宋" w:hint="eastAsia"/>
          <w:sz w:val="32"/>
          <w:szCs w:val="32"/>
        </w:rPr>
        <w:t>）；</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color w:val="000000"/>
          <w:sz w:val="32"/>
          <w:szCs w:val="32"/>
        </w:rPr>
        <w:t>7.</w:t>
      </w:r>
      <w:r>
        <w:rPr>
          <w:rFonts w:ascii="仿宋" w:eastAsia="仿宋" w:cs="仿宋" w:hint="eastAsia"/>
          <w:sz w:val="32"/>
          <w:szCs w:val="32"/>
        </w:rPr>
        <w:t>供应商基本情况介绍</w:t>
      </w:r>
      <w:r>
        <w:rPr>
          <w:rFonts w:ascii="仿宋" w:eastAsia="仿宋" w:cs="仿宋" w:hint="eastAsia"/>
          <w:color w:val="000000"/>
          <w:sz w:val="32"/>
          <w:szCs w:val="32"/>
        </w:rPr>
        <w:t>；</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8.</w:t>
      </w:r>
      <w:r>
        <w:rPr>
          <w:rFonts w:ascii="仿宋" w:eastAsia="仿宋" w:cs="仿宋" w:hint="eastAsia"/>
          <w:color w:val="000000"/>
          <w:sz w:val="32"/>
          <w:szCs w:val="32"/>
        </w:rPr>
        <w:t>拟派的本项目负责人简历和技术人员表</w:t>
      </w:r>
      <w:r>
        <w:rPr>
          <w:rFonts w:ascii="仿宋" w:eastAsia="仿宋" w:cs="仿宋" w:hint="eastAsia"/>
          <w:sz w:val="32"/>
          <w:szCs w:val="32"/>
        </w:rPr>
        <w:t>；</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9.近三年同类工作相关业绩；</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10.其他证明文件的复印件（如有请提供）。</w:t>
      </w:r>
    </w:p>
    <w:p>
      <w:pPr>
        <w:spacing w:line="560" w:lineRule="exact"/>
        <w:ind w:leftChars="-1" w:left="-2" w:firstLineChars="200" w:firstLine="640"/>
        <w:rPr>
          <w:rFonts w:ascii="仿宋" w:eastAsia="仿宋" w:cs="仿宋" w:hint="eastAsia"/>
          <w:sz w:val="32"/>
          <w:szCs w:val="32"/>
        </w:rPr>
      </w:pPr>
      <w:r>
        <w:rPr>
          <w:rFonts w:ascii="仿宋" w:eastAsia="仿宋" w:cs="仿宋" w:hint="eastAsia"/>
          <w:sz w:val="32"/>
          <w:szCs w:val="32"/>
        </w:rPr>
        <w:t>(注：报价文件须按照上述目录顺序装订成册，属于必须提供的材料均要加盖单位公章。报价文件副本材料须加盖封面章或骑缝章。）</w:t>
      </w:r>
    </w:p>
    <w:p>
      <w:pPr>
        <w:spacing w:line="560" w:lineRule="exact"/>
        <w:ind w:left="640"/>
        <w:rPr>
          <w:rFonts w:ascii="仿宋" w:eastAsia="仿宋" w:cs="仿宋" w:hint="eastAsia"/>
          <w:sz w:val="32"/>
          <w:szCs w:val="32"/>
        </w:rPr>
      </w:pPr>
      <w:r>
        <w:rPr>
          <w:rFonts w:ascii="仿宋" w:eastAsia="仿宋" w:cs="仿宋" w:hint="eastAsia"/>
          <w:b/>
          <w:sz w:val="32"/>
          <w:szCs w:val="32"/>
        </w:rPr>
        <w:t>（三）报价文件包装密封要求</w:t>
      </w:r>
      <w:r>
        <w:rPr>
          <w:rFonts w:ascii="仿宋" w:eastAsia="仿宋" w:cs="仿宋" w:hint="eastAsia"/>
          <w:sz w:val="32"/>
          <w:szCs w:val="32"/>
        </w:rPr>
        <w:t>。</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报价人应将所有报价文件装在一个密封袋内，报价文件密封袋的封口处应加贴封条并加盖报价人法人单位公章以示密封。</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二、资质评审</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具备《采购公告》中企业资质。</w:t>
      </w:r>
    </w:p>
    <w:p>
      <w:pPr>
        <w:spacing w:line="560" w:lineRule="exact"/>
        <w:ind w:firstLineChars="196" w:firstLine="627"/>
        <w:rPr>
          <w:rFonts w:ascii="仿宋" w:eastAsia="仿宋" w:cs="仿宋" w:hint="eastAsia"/>
          <w:sz w:val="32"/>
          <w:szCs w:val="32"/>
        </w:rPr>
      </w:pPr>
      <w:r>
        <w:rPr>
          <w:rFonts w:ascii="仿宋" w:eastAsia="仿宋" w:cs="仿宋" w:hint="eastAsia"/>
          <w:sz w:val="32"/>
          <w:szCs w:val="32"/>
        </w:rPr>
        <w:t>三、响应性评审</w:t>
      </w:r>
    </w:p>
    <w:p>
      <w:pPr>
        <w:spacing w:line="560" w:lineRule="exact"/>
        <w:ind w:firstLineChars="200" w:firstLine="640"/>
        <w:rPr>
          <w:rFonts w:ascii="仿宋" w:eastAsia="仿宋" w:cs="仿宋" w:hint="eastAsia"/>
          <w:color w:val="FF0000"/>
          <w:sz w:val="32"/>
          <w:szCs w:val="32"/>
        </w:rPr>
      </w:pPr>
      <w:r>
        <w:rPr>
          <w:rFonts w:ascii="仿宋" w:eastAsia="仿宋" w:cs="仿宋" w:hint="eastAsia"/>
          <w:sz w:val="32"/>
          <w:szCs w:val="32"/>
        </w:rPr>
        <w:t>（一）不符合以上形式要求（标注必须提供的材料未提交的）和资质要求的为不响应采购文件，不得参加下一步评审。</w:t>
      </w:r>
    </w:p>
    <w:p>
      <w:pPr>
        <w:spacing w:line="560" w:lineRule="exact"/>
        <w:ind w:firstLineChars="200" w:firstLine="640"/>
        <w:rPr>
          <w:rFonts w:ascii="仿宋" w:eastAsia="仿宋" w:cs="仿宋" w:hint="eastAsia"/>
          <w:sz w:val="32"/>
          <w:szCs w:val="32"/>
          <w:highlight w:val="yellow"/>
        </w:rPr>
      </w:pPr>
      <w:r>
        <w:rPr>
          <w:rFonts w:ascii="仿宋" w:eastAsia="仿宋" w:cs="仿宋" w:hint="eastAsia"/>
          <w:sz w:val="32"/>
          <w:szCs w:val="32"/>
        </w:rPr>
        <w:t>（二）报价在上控价以内且不存在严重不平衡、不合理、不低于其企业成本的报价为有效报价，报价超过上控价和严重不平衡、不合理、低于其企业成本的报价为不响应采购文件，不得参加下一步评审。</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四、评审方法及评分标准</w:t>
      </w:r>
    </w:p>
    <w:p>
      <w:pPr>
        <w:snapToGrid w:val="0"/>
        <w:spacing w:line="560" w:lineRule="exact"/>
        <w:ind w:firstLineChars="196" w:firstLine="627"/>
        <w:jc w:val="left"/>
        <w:rPr>
          <w:rFonts w:ascii="仿宋" w:eastAsia="仿宋" w:cs="仿宋" w:hint="eastAsia"/>
          <w:b/>
          <w:sz w:val="32"/>
          <w:szCs w:val="32"/>
        </w:rPr>
      </w:pPr>
      <w:r>
        <w:rPr>
          <w:rFonts w:ascii="仿宋" w:eastAsia="仿宋" w:cs="仿宋" w:hint="eastAsia"/>
          <w:b/>
          <w:sz w:val="32"/>
          <w:szCs w:val="32"/>
        </w:rPr>
        <w:t>（一）评审方法。</w:t>
      </w:r>
    </w:p>
    <w:p>
      <w:pPr>
        <w:snapToGrid w:val="0"/>
        <w:spacing w:line="560" w:lineRule="exact"/>
        <w:ind w:firstLineChars="200" w:firstLine="640"/>
        <w:jc w:val="left"/>
        <w:rPr>
          <w:rFonts w:ascii="仿宋" w:eastAsia="仿宋" w:cs="仿宋" w:hint="eastAsia"/>
          <w:bCs/>
          <w:sz w:val="32"/>
          <w:szCs w:val="32"/>
        </w:rPr>
      </w:pPr>
      <w:r>
        <w:rPr>
          <w:rFonts w:ascii="仿宋" w:eastAsia="仿宋" w:cs="仿宋" w:hint="eastAsia"/>
          <w:bCs/>
          <w:sz w:val="32"/>
          <w:szCs w:val="32"/>
        </w:rPr>
        <w:t>1.对进入详评的，采用百分制综合评分法。</w:t>
      </w:r>
    </w:p>
    <w:p>
      <w:pPr>
        <w:snapToGrid w:val="0"/>
        <w:spacing w:line="560" w:lineRule="exact"/>
        <w:ind w:firstLineChars="200" w:firstLine="640"/>
        <w:jc w:val="left"/>
        <w:rPr>
          <w:rFonts w:ascii="仿宋" w:eastAsia="仿宋" w:cs="仿宋" w:hint="eastAsia"/>
          <w:bCs/>
          <w:sz w:val="32"/>
          <w:szCs w:val="32"/>
        </w:rPr>
      </w:pPr>
      <w:r>
        <w:rPr>
          <w:rFonts w:ascii="仿宋" w:eastAsia="仿宋" w:cs="仿宋" w:hint="eastAsia"/>
          <w:bCs/>
          <w:sz w:val="32"/>
          <w:szCs w:val="32"/>
        </w:rPr>
        <w:t>2.计分办法（按四舍五入取至小数点后两位）。</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1. 价格分…………………………………………50分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以进入评审的“服务”最低的响应报价为50分：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报价得分=响应供应商的最低报价/某供应商报价*50分</w:t>
      </w:r>
    </w:p>
    <w:p>
      <w:pPr>
        <w:pStyle w:val="25"/>
        <w:spacing w:line="540" w:lineRule="exact"/>
        <w:ind w:firstLineChars="200" w:firstLine="640"/>
        <w:rPr>
          <w:rFonts w:ascii="仿宋" w:eastAsia="仿宋" w:cs="仿宋" w:hint="eastAsia"/>
          <w:b/>
          <w:sz w:val="32"/>
          <w:szCs w:val="32"/>
        </w:rPr>
      </w:pPr>
      <w:r>
        <w:rPr>
          <w:rFonts w:ascii="仿宋" w:eastAsia="仿宋" w:cs="仿宋" w:hint="eastAsia"/>
          <w:sz w:val="32"/>
          <w:szCs w:val="32"/>
        </w:rPr>
        <w:t>2. 技术服务分…………………………………40分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 xml:space="preserve">（1）服务项目分（满分20分） </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一档（8分）：有项目执行组织措施、项目执行保障措施；实施组织方案总体描述不具体、不详细。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 xml:space="preserve">二档（12分）：有项目执行组织措施、项目执行保障措施；实施组织方案总体相对一般、基本可行。 </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三档（20分）：项目执行组织措施、项目执行保障措施详细可行且有针对性，实施组织方案描述全面、可行；实施组织方案总体相对完善。</w:t>
      </w:r>
    </w:p>
    <w:p>
      <w:pPr>
        <w:pStyle w:val="26"/>
        <w:spacing w:line="540" w:lineRule="exact"/>
        <w:ind w:firstLineChars="200" w:firstLine="640"/>
        <w:rPr>
          <w:rFonts w:ascii="仿宋" w:eastAsia="仿宋" w:cs="仿宋" w:hint="eastAsia"/>
          <w:sz w:val="32"/>
          <w:szCs w:val="32"/>
        </w:rPr>
      </w:pPr>
      <w:r>
        <w:rPr>
          <w:rFonts w:ascii="仿宋" w:eastAsia="仿宋" w:cs="仿宋" w:hint="eastAsia"/>
          <w:sz w:val="32"/>
          <w:szCs w:val="32"/>
        </w:rPr>
        <w:t xml:space="preserve">（2）售后服务、应急保障服务方案（满分20分） </w:t>
      </w:r>
    </w:p>
    <w:p>
      <w:pPr>
        <w:pStyle w:val="26"/>
        <w:spacing w:line="540" w:lineRule="exact"/>
        <w:ind w:firstLineChars="200" w:firstLine="640"/>
        <w:rPr>
          <w:rFonts w:ascii="仿宋" w:eastAsia="仿宋" w:cs="仿宋" w:hint="eastAsia"/>
          <w:sz w:val="32"/>
          <w:szCs w:val="32"/>
        </w:rPr>
      </w:pPr>
      <w:r>
        <w:rPr>
          <w:rFonts w:ascii="仿宋" w:eastAsia="仿宋" w:cs="仿宋" w:hint="eastAsia"/>
          <w:sz w:val="32"/>
          <w:szCs w:val="32"/>
        </w:rPr>
        <w:t>一档（8分）：售后服务、应急保障服务方案简单，较一般的；</w:t>
      </w:r>
    </w:p>
    <w:p>
      <w:pPr>
        <w:pStyle w:val="26"/>
        <w:spacing w:line="540" w:lineRule="exact"/>
        <w:ind w:firstLineChars="200" w:firstLine="640"/>
        <w:rPr>
          <w:rFonts w:ascii="仿宋" w:eastAsia="仿宋" w:cs="仿宋" w:hint="eastAsia"/>
          <w:sz w:val="32"/>
          <w:szCs w:val="32"/>
        </w:rPr>
      </w:pPr>
      <w:r>
        <w:rPr>
          <w:rFonts w:ascii="仿宋" w:eastAsia="仿宋" w:cs="仿宋" w:hint="eastAsia"/>
          <w:sz w:val="32"/>
          <w:szCs w:val="32"/>
        </w:rPr>
        <w:t xml:space="preserve">二档（12分）：售后服务、应急保障服务方案比较良好的，制度较完备； </w:t>
      </w:r>
    </w:p>
    <w:p>
      <w:pPr>
        <w:pStyle w:val="26"/>
        <w:spacing w:line="540" w:lineRule="exact"/>
        <w:ind w:firstLineChars="200" w:firstLine="640"/>
        <w:rPr>
          <w:rFonts w:ascii="仿宋" w:eastAsia="仿宋" w:cs="仿宋" w:hint="eastAsia"/>
          <w:sz w:val="32"/>
          <w:szCs w:val="32"/>
        </w:rPr>
      </w:pPr>
      <w:r>
        <w:rPr>
          <w:rFonts w:ascii="仿宋" w:eastAsia="仿宋" w:cs="仿宋" w:hint="eastAsia"/>
          <w:sz w:val="32"/>
          <w:szCs w:val="32"/>
        </w:rPr>
        <w:t>三档（20分）：售后服务、应急保障服务方案优秀，规章严谨管理规范，有系统的管理办法。</w:t>
      </w:r>
    </w:p>
    <w:p>
      <w:pPr>
        <w:pStyle w:val="25"/>
        <w:spacing w:line="540" w:lineRule="exact"/>
        <w:ind w:firstLineChars="200" w:firstLine="640"/>
        <w:rPr>
          <w:rFonts w:ascii="仿宋" w:eastAsia="仿宋" w:cs="仿宋" w:hint="eastAsia"/>
          <w:b/>
          <w:sz w:val="32"/>
          <w:szCs w:val="32"/>
        </w:rPr>
      </w:pPr>
      <w:r>
        <w:rPr>
          <w:rFonts w:ascii="仿宋" w:eastAsia="仿宋" w:cs="仿宋" w:hint="eastAsia"/>
          <w:sz w:val="32"/>
          <w:szCs w:val="32"/>
        </w:rPr>
        <w:t>3. 商务分…………………………………………10分</w:t>
      </w:r>
      <w:r>
        <w:rPr>
          <w:rFonts w:ascii="仿宋" w:eastAsia="仿宋" w:cs="仿宋" w:hint="eastAsia"/>
          <w:b/>
          <w:sz w:val="32"/>
          <w:szCs w:val="32"/>
        </w:rPr>
        <w:t xml:space="preserve"> </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（1） 供应商自2023年至今以政府采购方式承接的类似服务项目获得采购人履约评价为“优秀”的（由供应商提供有评价方盖章的证明），或获得有关部门颁发的与企业生产经营相关的各种荣（信）誉奖项（提供证书复印件），每项得1分，满分5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（2） 供应商自2023年来同类项目业绩分（同类项目指其他单位或部门采购本公司的大数据分析服务，提供合同复印件及成交通知书复印件并加盖供应商单位公章），每提供一个合同得1分，满分5分。</w:t>
      </w:r>
    </w:p>
    <w:p>
      <w:pPr>
        <w:spacing w:line="560" w:lineRule="exact"/>
        <w:ind w:firstLineChars="200" w:firstLine="640"/>
        <w:rPr>
          <w:rFonts w:ascii="仿宋" w:eastAsia="仿宋" w:cs="仿宋" w:hint="eastAsia"/>
          <w:b/>
          <w:sz w:val="32"/>
          <w:szCs w:val="32"/>
        </w:rPr>
      </w:pPr>
      <w:r>
        <w:rPr>
          <w:rFonts w:ascii="仿宋" w:eastAsia="仿宋" w:cs="仿宋" w:hint="eastAsia"/>
          <w:b/>
          <w:bCs/>
          <w:sz w:val="32"/>
          <w:szCs w:val="32"/>
        </w:rPr>
        <w:t>（三）总得分=1 + 2 + 3 。</w:t>
      </w:r>
    </w:p>
    <w:p>
      <w:pPr>
        <w:snapToGrid w:val="0"/>
        <w:spacing w:line="560" w:lineRule="exact"/>
        <w:ind w:firstLineChars="200" w:firstLine="640"/>
        <w:jc w:val="left"/>
        <w:rPr>
          <w:rFonts w:ascii="仿宋" w:eastAsia="仿宋" w:cs="仿宋" w:hint="eastAsia"/>
          <w:b/>
          <w:sz w:val="32"/>
          <w:szCs w:val="32"/>
        </w:rPr>
      </w:pPr>
      <w:r>
        <w:rPr>
          <w:rFonts w:ascii="仿宋" w:eastAsia="仿宋" w:cs="仿宋" w:hint="eastAsia"/>
          <w:b/>
          <w:sz w:val="32"/>
          <w:szCs w:val="32"/>
        </w:rPr>
        <w:t>（三）成交(候选)人推荐原则。</w:t>
      </w:r>
    </w:p>
    <w:p>
      <w:pPr>
        <w:snapToGrid w:val="0"/>
        <w:spacing w:line="560" w:lineRule="exact"/>
        <w:ind w:firstLineChars="200" w:firstLine="640"/>
        <w:jc w:val="left"/>
        <w:rPr>
          <w:rFonts w:ascii="仿宋" w:eastAsia="仿宋" w:cs="仿宋" w:hint="eastAsia"/>
          <w:color w:val="000000"/>
          <w:sz w:val="32"/>
          <w:szCs w:val="32"/>
        </w:rPr>
      </w:pPr>
      <w:r>
        <w:rPr>
          <w:rFonts w:ascii="仿宋" w:eastAsia="仿宋" w:cs="仿宋" w:hint="eastAsia"/>
          <w:color w:val="000000"/>
          <w:sz w:val="32"/>
          <w:szCs w:val="32"/>
        </w:rPr>
        <w:t>评审小组将按总得分由高到低排列成交候选供应商顺序（总得分相同时，依次按投标报价低优先、技术分高优先、质量保证期长优先、提交服务成果时间短优先、处理问题到达时间短优先的顺序排列），并依照次序确定成交候选供应商。</w:t>
      </w:r>
    </w:p>
    <w:p>
      <w:pPr>
        <w:spacing w:line="560" w:lineRule="exact"/>
        <w:ind w:firstLine="630"/>
        <w:rPr>
          <w:rFonts w:ascii="仿宋" w:eastAsia="仿宋" w:cs="仿宋" w:hint="eastAsia"/>
          <w:sz w:val="32"/>
          <w:szCs w:val="32"/>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auto"/>
    <w:pitch w:val="variable"/>
    <w:sig w:usb0="800002BF" w:usb1="38CF7CFA" w:usb2="00000016" w:usb3="00000000" w:csb0="00040001" w:csb1="00000000"/>
  </w:font>
  <w:font w:name="黑体">
    <w:panose1 w:val="0201060906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203" w:usb1="288F0000" w:usb2="00000006" w:usb3="00000000" w:csb0="00040001"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1"/>
    <w:family w:val="modern"/>
    <w:pitch w:val="variable"/>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character" w:default="1" w:styleId="10">
    <w:name w:val="Default Paragraph Font"/>
  </w:style>
  <w:style w:type="paragraph" w:styleId="15">
    <w:name w:val="annotation text"/>
    <w:basedOn w:val="0"/>
    <w:pPr>
      <w:jc w:val="left"/>
    </w:pPr>
  </w:style>
  <w:style w:type="paragraph" w:styleId="16">
    <w:name w:val="Plain Text"/>
    <w:basedOn w:val="0"/>
    <w:rPr>
      <w:rFonts w:ascii="宋体"/>
    </w:rPr>
  </w:style>
  <w:style w:type="paragraph" w:styleId="17">
    <w:name w:val="Balloon Text"/>
    <w:basedOn w:val="0"/>
    <w:rPr>
      <w:sz w:val="18"/>
      <w:szCs w:val="18"/>
    </w:rPr>
  </w:style>
  <w:style w:type="paragraph" w:styleId="18">
    <w:name w:val="footer"/>
    <w:basedOn w:val="0"/>
    <w:pPr>
      <w:tabs>
        <w:tab w:val="center" w:pos="4153"/>
        <w:tab w:val="right" w:pos="8306"/>
      </w:tabs>
      <w:snapToGrid w:val="0"/>
      <w:jc w:val="left"/>
    </w:pPr>
    <w:rPr>
      <w:sz w:val="18"/>
      <w:szCs w:val="18"/>
    </w:rPr>
  </w:style>
  <w:style w:type="paragraph" w:styleId="19">
    <w:name w:val="header"/>
    <w:basedOn w:val="0"/>
    <w:pPr>
      <w:pBdr>
        <w:bottom w:val="single" w:sz="6" w:space="1" w:color="auto"/>
      </w:pBdr>
      <w:tabs>
        <w:tab w:val="center" w:pos="4153"/>
        <w:tab w:val="right" w:pos="8306"/>
      </w:tabs>
      <w:snapToGrid w:val="0"/>
      <w:jc w:val="center"/>
    </w:pPr>
    <w:rPr>
      <w:sz w:val="18"/>
      <w:szCs w:val="18"/>
    </w:rPr>
  </w:style>
  <w:style w:type="paragraph" w:styleId="20">
    <w:name w:val="toc 9"/>
    <w:autoRedefine/>
    <w:next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tabs>
        <w:tab w:val="right" w:leader="dot" w:pos="9185"/>
      </w:tabs>
      <w:suppressAutoHyphens w:val="0"/>
      <w:kinsoku/>
      <w:wordWrap/>
      <w:overflowPunct/>
      <w:topLinePunct w:val="0"/>
      <w:autoSpaceDE/>
      <w:autoSpaceDN/>
      <w:bidi w:val="0"/>
      <w:adjustRightInd w:val="0"/>
      <w:snapToGrid/>
      <w:spacing w:before="0" w:beforeAutospacing="0" w:after="0" w:afterAutospacing="0" w:line="312" w:lineRule="atLeast"/>
      <w:ind w:left="3360" w:right="0" w:firstLine="0"/>
      <w:jc w:val="both"/>
      <w:textAlignment w:val="auto"/>
      <w:outlineLvl w:val="9"/>
    </w:pPr>
    <w:rPr>
      <w:rFonts w:ascii="Times New Roman" w:eastAsia="宋体" w:cs="Times New Roman" w:hAnsi="Times New Roman"/>
      <w:b/>
      <w:bCs/>
      <w:snapToGrid/>
      <w:color w:val="auto"/>
      <w:spacing w:val="0"/>
      <w:w w:val="100"/>
      <w:kern w:val="0"/>
      <w:position w:val="0"/>
      <w:sz w:val="21"/>
      <w:szCs w:val="20"/>
      <w:u w:val="none" w:color="auto"/>
      <w:vertAlign w:val="baseline"/>
      <w:lang w:val="en-US" w:eastAsia="zh-CN" w:bidi="ar-SA"/>
    </w:rPr>
  </w:style>
  <w:style w:type="paragraph" w:styleId="21">
    <w:name w:val="Normal (Web)"/>
    <w:basedOn w:val="0"/>
    <w:pPr>
      <w:widowControl/>
      <w:spacing w:line="480" w:lineRule="auto"/>
      <w:jc w:val="left"/>
    </w:pPr>
    <w:rPr>
      <w:rFonts w:ascii="宋体" w:eastAsia="微软雅黑" w:cs="宋体" w:hAnsi="宋体"/>
      <w:kern w:val="0"/>
      <w:sz w:val="24"/>
      <w:szCs w:val="24"/>
    </w:rPr>
  </w:style>
  <w:style w:type="character" w:styleId="22">
    <w:name w:val="annotation reference"/>
    <w:basedOn w:val="10"/>
    <w:rPr>
      <w:sz w:val="21"/>
      <w:szCs w:val="21"/>
    </w:rPr>
  </w:style>
  <w:style w:type="character" w:customStyle="1" w:styleId="23">
    <w:name w:val="纯文本 Char"/>
    <w:basedOn w:val="10"/>
    <w:rPr>
      <w:rFonts w:ascii="宋体" w:eastAsia="宋体" w:cs="Courier New"/>
      <w:szCs w:val="21"/>
    </w:rPr>
  </w:style>
  <w:style w:type="paragraph" w:customStyle="1" w:styleId="24">
    <w:name w:val="样式 10 磅"/>
    <w:pPr>
      <w:widowControl w:val="0"/>
      <w:jc w:val="both"/>
    </w:pPr>
    <w:rPr>
      <w:rFonts w:ascii="Times New Roman" w:eastAsia="宋体" w:cs="Times New Roman" w:hAnsi="Times New Roman"/>
      <w:kern w:val="2"/>
      <w:sz w:val="21"/>
      <w:lang w:val="en-US" w:eastAsia="zh-CN" w:bidi="ar-SA"/>
    </w:rPr>
  </w:style>
  <w:style w:type="paragraph" w:customStyle="1" w:styleId="25">
    <w:name w:val="样式 1 10 磅"/>
    <w:pPr>
      <w:widowControl w:val="0"/>
      <w:jc w:val="both"/>
    </w:pPr>
    <w:rPr>
      <w:rFonts w:ascii="Calibri" w:eastAsia="宋体" w:cs="Times New Roman" w:hAnsi="Calibri"/>
      <w:kern w:val="2"/>
      <w:sz w:val="21"/>
      <w:szCs w:val="24"/>
      <w:lang w:val="en-US" w:eastAsia="zh-CN" w:bidi="ar-SA"/>
    </w:rPr>
  </w:style>
  <w:style w:type="paragraph" w:customStyle="1" w:styleId="26">
    <w:name w:val="样式 23 10 磅"/>
    <w:pPr>
      <w:widowControl w:val="0"/>
      <w:jc w:val="both"/>
    </w:pPr>
    <w:rPr>
      <w:rFonts w:ascii="Calibri" w:eastAsia="宋体" w:cs="Times New Roman" w:hAnsi="Calibri"/>
      <w:kern w:val="2"/>
      <w:sz w:val="21"/>
      <w:szCs w:val="24"/>
      <w:lang w:val="en-US" w:eastAsia="zh-CN" w:bidi="ar-SA"/>
    </w:rPr>
  </w:style>
  <w:style w:type="paragraph" w:customStyle="1" w:styleId="27">
    <w:name w:val="样式 16 10 磅"/>
    <w:next w:val="15"/>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jc w:val="both"/>
      <w:textAlignment w:val="auto"/>
      <w:outlineLvl w:val="9"/>
    </w:pPr>
    <w:rPr>
      <w:rFonts w:ascii="Times New Roman" w:eastAsia="宋体" w:cs="Times New Roman" w:hAnsi="Times New Roman"/>
      <w:snapToGrid/>
      <w:color w:val="auto"/>
      <w:spacing w:val="0"/>
      <w:w w:val="100"/>
      <w:kern w:val="2"/>
      <w:position w:val="0"/>
      <w:sz w:val="21"/>
      <w:szCs w:val="24"/>
      <w:u w:val="none" w:color="auto"/>
      <w:vertAlign w:val="baseline"/>
      <w:lang w:val="en-US" w:eastAsia="zh-CN" w:bidi="ar-SA"/>
    </w:rPr>
  </w:style>
  <w:style w:type="paragraph" w:customStyle="1" w:styleId="28">
    <w:name w:val="样式 17 10 磅"/>
    <w:pPr>
      <w:widowControl w:val="0"/>
      <w:jc w:val="both"/>
    </w:pPr>
    <w:rPr>
      <w:rFonts w:ascii="Times New Roman"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5</TotalTime>
  <Application>Yozo_Office</Application>
  <Pages>4</Pages>
  <Words>1392</Words>
  <Characters>1448</Characters>
  <Lines>81</Lines>
  <Paragraphs>47</Paragraphs>
  <CharactersWithSpaces>1463</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孙佳乐</cp:lastModifiedBy>
  <cp:revision>7</cp:revision>
  <cp:lastPrinted>2025-03-17T06:46:00Z</cp:lastPrinted>
  <dcterms:created xsi:type="dcterms:W3CDTF">2024-01-09T07:55:00Z</dcterms:created>
  <dcterms:modified xsi:type="dcterms:W3CDTF">2025-09-19T08:37:30Z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2052-12.1.0.21915</vt:lpwstr>
  </property>
  <property fmtid="{D5CDD505-2E9C-101B-9397-08002B2CF9AE}" pid="3" name="ICV">
    <vt:lpwstr>523E47802E564538BC30E4312410EC56_13</vt:lpwstr>
  </property>
  <property fmtid="{D5CDD505-2E9C-101B-9397-08002B2CF9AE}" pid="4" name="KSOTemplateDocerSaveRecord">
    <vt:lpwstr>eyJoZGlkIjoiNGM0MGRmMmFjMzE4NWM2ODY0ZTM5NWEzMDMzMTliYTYiLCJ1c2VySWQiOiIxNjc4Mjc4NTc3In0=</vt:lpwstr>
  </property>
</Properties>
</file>